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1A0BA3A1">
      <w:pPr>
        <w:pStyle w:val="style0"/>
        <w:pBdr>
          <w:left w:val="nil"/>
          <w:right w:val="nil"/>
          <w:top w:val="nil"/>
          <w:bottom w:val="nil"/>
          <w:between w:val="nil"/>
        </w:pBdr>
        <w:spacing w:after="75"/>
        <w:jc w:val="center"/>
        <w:rPr>
          <w:rFonts w:ascii="Arial" w:cs="Arial" w:eastAsia="Arial" w:hAnsi="Arial"/>
          <w:b/>
          <w:color w:val="000000"/>
          <w:sz w:val="24"/>
          <w:szCs w:val="24"/>
        </w:rPr>
      </w:pPr>
      <w:r>
        <w:rPr>
          <w:rFonts w:ascii="Arial" w:cs="Arial" w:eastAsia="Arial" w:hAnsi="Arial"/>
          <w:b/>
          <w:color w:val="000000"/>
          <w:sz w:val="24"/>
          <w:szCs w:val="24"/>
          <w:lang w:val="ru-RU"/>
        </w:rPr>
        <w:t>Московская Лига профессиональных гольфистов</w:t>
      </w:r>
      <w:r>
        <w:rPr>
          <w:rFonts w:ascii="Arial" w:cs="Arial" w:eastAsia="Arial" w:hAnsi="Arial"/>
          <w:b/>
          <w:color w:val="000000"/>
          <w:sz w:val="24"/>
          <w:szCs w:val="24"/>
        </w:rPr>
        <w:t>,</w:t>
      </w:r>
    </w:p>
    <w:p w14:paraId="4B9114DB">
      <w:pPr>
        <w:pStyle w:val="style0"/>
        <w:pBdr>
          <w:left w:val="nil"/>
          <w:right w:val="nil"/>
          <w:top w:val="nil"/>
          <w:bottom w:val="nil"/>
          <w:between w:val="nil"/>
        </w:pBdr>
        <w:spacing w:after="75"/>
        <w:jc w:val="center"/>
        <w:rPr>
          <w:rFonts w:ascii="Arial" w:cs="Arial" w:eastAsia="Arial" w:hAnsi="Arial"/>
          <w:color w:val="000000"/>
          <w:sz w:val="24"/>
          <w:szCs w:val="24"/>
        </w:rPr>
      </w:pPr>
      <w:r>
        <w:rPr>
          <w:rFonts w:ascii="Arial" w:cs="Arial" w:eastAsia="Arial" w:hAnsi="Arial"/>
          <w:b/>
          <w:color w:val="000000"/>
          <w:sz w:val="24"/>
          <w:szCs w:val="24"/>
        </w:rPr>
        <w:t xml:space="preserve"> 14</w:t>
      </w:r>
      <w:r>
        <w:rPr>
          <w:rFonts w:ascii="Arial" w:cs="Arial" w:eastAsia="Arial" w:hAnsi="Arial"/>
          <w:b/>
          <w:color w:val="000000"/>
          <w:sz w:val="24"/>
          <w:szCs w:val="24"/>
        </w:rPr>
        <w:t xml:space="preserve"> </w:t>
      </w:r>
      <w:r>
        <w:rPr>
          <w:rFonts w:ascii="Arial" w:cs="Arial" w:eastAsia="Arial" w:hAnsi="Arial"/>
          <w:b/>
          <w:color w:val="000000"/>
          <w:sz w:val="24"/>
          <w:szCs w:val="24"/>
          <w:lang w:val="ru-RU"/>
        </w:rPr>
        <w:t>сентября</w:t>
      </w:r>
      <w:r>
        <w:rPr>
          <w:rFonts w:ascii="Arial" w:cs="Arial" w:eastAsia="Arial" w:hAnsi="Arial"/>
          <w:b/>
          <w:color w:val="000000"/>
          <w:sz w:val="24"/>
          <w:szCs w:val="24"/>
        </w:rPr>
        <w:t xml:space="preserve"> 2026</w:t>
      </w:r>
      <w:r>
        <w:rPr>
          <w:rFonts w:ascii="Arial" w:cs="Arial" w:eastAsia="Arial" w:hAnsi="Arial"/>
          <w:b/>
          <w:color w:val="000000"/>
          <w:sz w:val="24"/>
          <w:szCs w:val="24"/>
        </w:rPr>
        <w:t>, Moscow Country Club</w:t>
      </w:r>
    </w:p>
    <w:p w14:paraId="17D9E656">
      <w:pPr>
        <w:pStyle w:val="style0"/>
        <w:pBdr>
          <w:left w:val="nil"/>
          <w:right w:val="nil"/>
          <w:top w:val="nil"/>
          <w:bottom w:val="nil"/>
          <w:between w:val="nil"/>
        </w:pBdr>
        <w:spacing w:before="57" w:after="57"/>
        <w:jc w:val="center"/>
        <w:rPr>
          <w:rFonts w:ascii="Arial" w:cs="Arial" w:eastAsia="Arial" w:hAnsi="Arial"/>
          <w:color w:val="000000"/>
          <w:sz w:val="28"/>
          <w:szCs w:val="28"/>
        </w:rPr>
        <w:sectPr>
          <w:pgSz w:w="11906" w:h="16838" w:orient="portrait"/>
          <w:pgMar w:top="567" w:right="851" w:bottom="284" w:left="1134" w:header="720" w:footer="720" w:gutter="0"/>
          <w:pgNumType w:start="1"/>
          <w:cols w:space="720"/>
        </w:sectPr>
      </w:pPr>
      <w:r>
        <w:rPr>
          <w:rFonts w:ascii="Arial" w:cs="Arial" w:eastAsia="Arial" w:hAnsi="Arial"/>
          <w:b/>
          <w:color w:val="000000"/>
          <w:sz w:val="28"/>
          <w:szCs w:val="28"/>
        </w:rPr>
        <w:t>Местные правила соревнований</w:t>
      </w:r>
    </w:p>
    <w:p w14:paraId="1D661D61">
      <w:pPr>
        <w:pStyle w:val="style0"/>
        <w:pBdr>
          <w:left w:val="nil"/>
          <w:right w:val="nil"/>
          <w:top w:val="nil"/>
          <w:bottom w:val="nil"/>
          <w:between w:val="nil"/>
        </w:pBdr>
        <w:spacing w:before="28"/>
        <w:jc w:val="both"/>
        <w:rPr>
          <w:color w:val="000000"/>
        </w:rPr>
      </w:pPr>
      <w:r>
        <w:rPr>
          <w:b/>
          <w:color w:val="000000"/>
          <w:u w:val="single"/>
        </w:rPr>
        <w:t>1. Стартовые области-</w:t>
      </w:r>
      <w:r>
        <w:rPr>
          <w:b/>
          <w:color w:val="000000"/>
          <w:u w:val="single"/>
        </w:rPr>
        <w:t>ти</w:t>
      </w:r>
      <w:r>
        <w:rPr>
          <w:b/>
          <w:color w:val="000000"/>
          <w:u w:val="single"/>
        </w:rPr>
        <w:t xml:space="preserve"> и формат соревнований</w:t>
      </w:r>
      <w:r>
        <w:rPr>
          <w:color w:val="000000"/>
        </w:rPr>
        <w:t>:</w:t>
      </w:r>
    </w:p>
    <w:p w14:paraId="7181C530">
      <w:pPr>
        <w:pStyle w:val="style0"/>
        <w:pBdr>
          <w:left w:val="nil"/>
          <w:right w:val="nil"/>
          <w:top w:val="nil"/>
          <w:bottom w:val="nil"/>
          <w:between w:val="nil"/>
        </w:pBdr>
        <w:spacing w:before="28"/>
        <w:jc w:val="both"/>
        <w:rPr>
          <w:color w:val="000000"/>
          <w:lang w:val="ru-RU"/>
        </w:rPr>
      </w:pPr>
      <w:r>
        <w:rPr>
          <w:color w:val="000000"/>
          <w:lang w:val="ru-RU"/>
        </w:rPr>
        <w:t xml:space="preserve">Формат соревнования – </w:t>
      </w:r>
      <w:r>
        <w:rPr>
          <w:b/>
          <w:color w:val="000000"/>
          <w:lang w:val="ru-RU"/>
        </w:rPr>
        <w:t>игра на счет ударов</w:t>
      </w:r>
      <w:r>
        <w:rPr>
          <w:color w:val="000000"/>
          <w:lang w:val="ru-RU"/>
        </w:rPr>
        <w:t xml:space="preserve">.              Мужчины стартуют с черных </w:t>
      </w:r>
      <w:r>
        <w:rPr>
          <w:color w:val="000000"/>
          <w:lang w:val="ru-RU"/>
        </w:rPr>
        <w:t>Ти</w:t>
      </w:r>
      <w:r>
        <w:rPr>
          <w:color w:val="000000"/>
          <w:lang w:val="ru-RU"/>
        </w:rPr>
        <w:t xml:space="preserve">. Женщины стартуют с белых </w:t>
      </w:r>
      <w:r>
        <w:rPr>
          <w:color w:val="000000"/>
          <w:lang w:val="ru-RU"/>
        </w:rPr>
        <w:t>Ти</w:t>
      </w:r>
      <w:r>
        <w:rPr>
          <w:color w:val="000000"/>
          <w:lang w:val="ru-RU"/>
        </w:rPr>
        <w:t xml:space="preserve">. Несколько белых </w:t>
      </w:r>
      <w:r>
        <w:rPr>
          <w:color w:val="000000"/>
          <w:lang w:val="ru-RU"/>
        </w:rPr>
        <w:t>Ти</w:t>
      </w:r>
      <w:r>
        <w:rPr>
          <w:color w:val="000000"/>
          <w:lang w:val="ru-RU"/>
        </w:rPr>
        <w:t xml:space="preserve"> будут размещены на площадке для синих </w:t>
      </w:r>
      <w:r>
        <w:rPr>
          <w:color w:val="000000"/>
          <w:lang w:val="ru-RU"/>
        </w:rPr>
        <w:t>Ти</w:t>
      </w:r>
      <w:r>
        <w:rPr>
          <w:color w:val="000000"/>
          <w:lang w:val="ru-RU"/>
        </w:rPr>
        <w:t xml:space="preserve">. </w:t>
      </w:r>
    </w:p>
    <w:p w14:paraId="1A76B00F">
      <w:pPr>
        <w:pStyle w:val="style0"/>
        <w:pBdr>
          <w:left w:val="nil"/>
          <w:right w:val="nil"/>
          <w:top w:val="nil"/>
          <w:bottom w:val="nil"/>
          <w:between w:val="nil"/>
        </w:pBdr>
        <w:spacing w:before="28"/>
        <w:jc w:val="both"/>
        <w:rPr>
          <w:color w:val="000000"/>
        </w:rPr>
      </w:pPr>
    </w:p>
    <w:p w14:paraId="564CFF66">
      <w:pPr>
        <w:pStyle w:val="style0"/>
        <w:pBdr>
          <w:left w:val="nil"/>
          <w:right w:val="nil"/>
          <w:top w:val="nil"/>
          <w:bottom w:val="nil"/>
          <w:between w:val="nil"/>
        </w:pBdr>
        <w:spacing w:before="28"/>
        <w:rPr>
          <w:color w:val="000000"/>
        </w:rPr>
      </w:pPr>
      <w:r>
        <w:rPr>
          <w:b/>
          <w:color w:val="000000"/>
          <w:u w:val="single"/>
        </w:rPr>
        <w:t>2. Мяч за пределами гольф-поля (Правило 18)</w:t>
      </w:r>
    </w:p>
    <w:p w14:paraId="62EEBEA0">
      <w:pPr>
        <w:pStyle w:val="style0"/>
        <w:pBdr>
          <w:left w:val="nil"/>
          <w:right w:val="nil"/>
          <w:top w:val="nil"/>
          <w:bottom w:val="nil"/>
          <w:between w:val="nil"/>
        </w:pBdr>
        <w:rPr>
          <w:color w:val="000000"/>
        </w:rPr>
      </w:pPr>
      <w:r>
        <w:rPr>
          <w:color w:val="000000"/>
        </w:rPr>
        <w:t xml:space="preserve">Мяч считается за пределами поля, когда он оказался: </w:t>
      </w:r>
      <w:r>
        <w:rPr>
          <w:color w:val="000000"/>
        </w:rPr>
        <w:br/>
      </w:r>
      <w:r>
        <w:rPr>
          <w:color w:val="000000"/>
        </w:rPr>
        <w:t>За любым забором, ограничивающим поле, за исключением лунки 16 (см. п.4).  В зоне, обозначенной белыми колышками: слева от лунки 4. На драйвинг-</w:t>
      </w:r>
      <w:r>
        <w:rPr>
          <w:color w:val="000000"/>
        </w:rPr>
        <w:t>рейндже</w:t>
      </w:r>
      <w:r>
        <w:rPr>
          <w:color w:val="000000"/>
        </w:rPr>
        <w:t xml:space="preserve"> слева от лунки 1 или справа от лунки 10. Слева от грина 9 лунки, за конструкцией, огораживающей клубный дом, которая считается граничным объектом (не дает права на </w:t>
      </w:r>
      <w:r>
        <w:rPr>
          <w:color w:val="000000"/>
        </w:rPr>
        <w:t>релиф</w:t>
      </w:r>
      <w:r>
        <w:rPr>
          <w:color w:val="000000"/>
        </w:rPr>
        <w:t xml:space="preserve"> без штрафа).</w:t>
      </w:r>
    </w:p>
    <w:p w14:paraId="7C13E068">
      <w:pPr>
        <w:pStyle w:val="style0"/>
        <w:widowControl w:val="false"/>
        <w:pBdr>
          <w:left w:val="nil"/>
          <w:right w:val="nil"/>
          <w:top w:val="nil"/>
          <w:bottom w:val="nil"/>
          <w:between w:val="nil"/>
        </w:pBdr>
        <w:spacing w:before="28"/>
        <w:jc w:val="both"/>
        <w:rPr>
          <w:color w:val="000000"/>
          <w:u w:val="single"/>
        </w:rPr>
      </w:pPr>
    </w:p>
    <w:p w14:paraId="2194DF48">
      <w:pPr>
        <w:pStyle w:val="style0"/>
        <w:widowControl w:val="false"/>
        <w:pBdr>
          <w:left w:val="nil"/>
          <w:right w:val="nil"/>
          <w:top w:val="nil"/>
          <w:bottom w:val="nil"/>
          <w:between w:val="nil"/>
        </w:pBdr>
        <w:spacing w:before="28"/>
        <w:jc w:val="both"/>
        <w:rPr>
          <w:color w:val="000000"/>
          <w:u w:val="single"/>
        </w:rPr>
      </w:pPr>
      <w:r>
        <w:rPr>
          <w:b/>
          <w:color w:val="000000"/>
          <w:u w:val="single"/>
        </w:rPr>
        <w:t>3. Участки в аномальном состоянии (Правило 16.1)</w:t>
      </w:r>
    </w:p>
    <w:p w14:paraId="67469D67">
      <w:pPr>
        <w:pStyle w:val="style0"/>
        <w:widowControl w:val="false"/>
        <w:pBdr>
          <w:left w:val="nil"/>
          <w:right w:val="nil"/>
          <w:top w:val="nil"/>
          <w:bottom w:val="nil"/>
          <w:between w:val="nil"/>
        </w:pBdr>
        <w:spacing w:before="28"/>
        <w:jc w:val="both"/>
        <w:rPr>
          <w:color w:val="000000"/>
        </w:rPr>
      </w:pPr>
      <w:r>
        <w:rPr>
          <w:b/>
          <w:color w:val="000000"/>
        </w:rPr>
        <w:t>- Ремонтируемые участки:</w:t>
      </w:r>
    </w:p>
    <w:p w14:paraId="1B1166DD">
      <w:pPr>
        <w:pStyle w:val="style0"/>
        <w:widowControl w:val="false"/>
        <w:pBdr>
          <w:left w:val="nil"/>
          <w:right w:val="nil"/>
          <w:top w:val="nil"/>
          <w:bottom w:val="nil"/>
          <w:between w:val="nil"/>
        </w:pBdr>
        <w:spacing w:before="28"/>
        <w:jc w:val="both"/>
        <w:rPr>
          <w:color w:val="000000"/>
        </w:rPr>
      </w:pPr>
      <w:r>
        <w:rPr>
          <w:color w:val="000000"/>
        </w:rPr>
        <w:t>Участки, отмеченные металлическими дужками или веревками, замкнутыми белыми линиями или синими колышками, стыки дерна для положения мяча.</w:t>
      </w:r>
    </w:p>
    <w:p w14:paraId="05A3FC16">
      <w:pPr>
        <w:pStyle w:val="style0"/>
        <w:pBdr>
          <w:left w:val="nil"/>
          <w:right w:val="nil"/>
          <w:top w:val="nil"/>
          <w:bottom w:val="nil"/>
          <w:between w:val="nil"/>
        </w:pBdr>
        <w:rPr>
          <w:color w:val="000000"/>
          <w:sz w:val="18"/>
          <w:szCs w:val="18"/>
        </w:rPr>
      </w:pPr>
      <w:r>
        <w:rPr>
          <w:b/>
          <w:color w:val="000000"/>
          <w:sz w:val="18"/>
          <w:szCs w:val="18"/>
        </w:rPr>
        <w:t xml:space="preserve">- Неподвижные препятствия: </w:t>
      </w:r>
    </w:p>
    <w:p w14:paraId="7F0A9C9F">
      <w:pPr>
        <w:pStyle w:val="style0"/>
        <w:pBdr>
          <w:left w:val="nil"/>
          <w:right w:val="nil"/>
          <w:top w:val="nil"/>
          <w:bottom w:val="nil"/>
          <w:between w:val="nil"/>
        </w:pBdr>
        <w:rPr>
          <w:color w:val="000000"/>
          <w:sz w:val="24"/>
          <w:szCs w:val="24"/>
        </w:rPr>
      </w:pPr>
      <w:r>
        <w:rPr>
          <w:color w:val="000000"/>
        </w:rPr>
        <w:t xml:space="preserve">Мощеные дорожки, спринклеры, дренажные колодцы, указатели расстояний, шкафы управления поливом и мосты, лавочки и мойки мячей около </w:t>
      </w:r>
      <w:r>
        <w:rPr>
          <w:color w:val="000000"/>
        </w:rPr>
        <w:t>ти</w:t>
      </w:r>
      <w:r>
        <w:rPr>
          <w:color w:val="000000"/>
        </w:rPr>
        <w:t>-боксов.</w:t>
      </w:r>
      <w:r>
        <w:rPr>
          <w:color w:val="000000"/>
          <w:sz w:val="24"/>
          <w:szCs w:val="24"/>
        </w:rPr>
        <w:t xml:space="preserve"> </w:t>
      </w:r>
    </w:p>
    <w:p w14:paraId="55278EA6">
      <w:pPr>
        <w:pStyle w:val="style0"/>
        <w:pBdr>
          <w:left w:val="nil"/>
          <w:right w:val="nil"/>
          <w:top w:val="nil"/>
          <w:bottom w:val="nil"/>
          <w:between w:val="nil"/>
        </w:pBdr>
        <w:spacing w:before="28"/>
        <w:jc w:val="both"/>
        <w:rPr>
          <w:color w:val="000000"/>
          <w:sz w:val="18"/>
          <w:szCs w:val="18"/>
        </w:rPr>
      </w:pPr>
      <w:r>
        <w:rPr>
          <w:color w:val="000000"/>
          <w:sz w:val="18"/>
          <w:szCs w:val="18"/>
        </w:rPr>
        <w:t>-</w:t>
      </w:r>
      <w:r>
        <w:rPr>
          <w:color w:val="000000"/>
          <w:sz w:val="18"/>
          <w:szCs w:val="18"/>
          <w:lang w:val="ru-RU"/>
        </w:rPr>
        <w:t xml:space="preserve"> </w:t>
      </w:r>
      <w:r>
        <w:rPr>
          <w:b/>
          <w:color w:val="000000"/>
          <w:sz w:val="18"/>
          <w:szCs w:val="18"/>
        </w:rPr>
        <w:t>Неподвижные препятствия</w:t>
      </w:r>
      <w:r>
        <w:rPr>
          <w:b/>
          <w:color w:val="000000"/>
          <w:sz w:val="18"/>
          <w:szCs w:val="18"/>
          <w:lang w:val="ru-RU"/>
        </w:rPr>
        <w:t>,</w:t>
      </w:r>
      <w:r>
        <w:rPr>
          <w:b/>
          <w:color w:val="000000"/>
          <w:sz w:val="18"/>
          <w:szCs w:val="18"/>
        </w:rPr>
        <w:t xml:space="preserve"> расположенные рядом с </w:t>
      </w:r>
      <w:r>
        <w:rPr>
          <w:b/>
          <w:color w:val="000000"/>
          <w:sz w:val="18"/>
          <w:szCs w:val="18"/>
        </w:rPr>
        <w:t>паттинг</w:t>
      </w:r>
      <w:r>
        <w:rPr>
          <w:b/>
          <w:color w:val="000000"/>
          <w:sz w:val="18"/>
          <w:szCs w:val="18"/>
        </w:rPr>
        <w:t>-грином</w:t>
      </w:r>
      <w:r>
        <w:rPr>
          <w:b/>
          <w:i/>
          <w:color w:val="000000"/>
          <w:sz w:val="18"/>
          <w:szCs w:val="18"/>
        </w:rPr>
        <w:t xml:space="preserve">                            </w:t>
      </w:r>
    </w:p>
    <w:p w14:paraId="69985F21">
      <w:pPr>
        <w:pStyle w:val="style0"/>
        <w:pBdr>
          <w:left w:val="nil"/>
          <w:right w:val="nil"/>
          <w:top w:val="nil"/>
          <w:bottom w:val="nil"/>
          <w:between w:val="nil"/>
        </w:pBdr>
        <w:spacing w:before="28"/>
        <w:jc w:val="both"/>
        <w:rPr>
          <w:color w:val="000000"/>
        </w:rPr>
      </w:pPr>
      <w:r>
        <w:rPr>
          <w:color w:val="000000"/>
        </w:rPr>
        <w:t xml:space="preserve">Если мяч лежит на основной части поля, и неподвижное препятствие расположено на </w:t>
      </w:r>
      <w:r>
        <w:rPr>
          <w:color w:val="000000"/>
        </w:rPr>
        <w:t>паттинг</w:t>
      </w:r>
      <w:r>
        <w:rPr>
          <w:color w:val="000000"/>
        </w:rPr>
        <w:t xml:space="preserve">-грине или в пределах двух длин клюшки от него и в пределах двух длин клюшки от мяча и находится на линии игры между мячом и лункой, то игрок может воспользоваться </w:t>
      </w:r>
      <w:r>
        <w:rPr>
          <w:color w:val="000000"/>
        </w:rPr>
        <w:t>релифом</w:t>
      </w:r>
      <w:r>
        <w:rPr>
          <w:color w:val="000000"/>
        </w:rPr>
        <w:t xml:space="preserve"> в соответствии с Правилом 16.1.</w:t>
      </w:r>
    </w:p>
    <w:p w14:paraId="15865340">
      <w:pPr>
        <w:pStyle w:val="style0"/>
        <w:pBdr>
          <w:left w:val="nil"/>
          <w:right w:val="nil"/>
          <w:top w:val="nil"/>
          <w:bottom w:val="nil"/>
          <w:between w:val="nil"/>
        </w:pBdr>
        <w:spacing w:before="28"/>
        <w:jc w:val="both"/>
        <w:rPr>
          <w:color w:val="000000"/>
        </w:rPr>
      </w:pPr>
    </w:p>
    <w:p w14:paraId="5D34850E">
      <w:pPr>
        <w:pStyle w:val="style0"/>
        <w:pBdr>
          <w:left w:val="nil"/>
          <w:right w:val="nil"/>
          <w:top w:val="nil"/>
          <w:bottom w:val="nil"/>
          <w:between w:val="nil"/>
        </w:pBdr>
        <w:spacing w:before="28"/>
        <w:jc w:val="both"/>
        <w:rPr>
          <w:b/>
          <w:color w:val="000000"/>
          <w:u w:val="single"/>
        </w:rPr>
      </w:pPr>
      <w:r>
        <w:rPr>
          <w:b/>
          <w:color w:val="000000"/>
          <w:u w:val="single"/>
        </w:rPr>
        <w:t>4. Штрафные области (Правило 17)</w:t>
      </w:r>
    </w:p>
    <w:p w14:paraId="42E15CE0">
      <w:pPr>
        <w:pStyle w:val="style0"/>
        <w:pBdr>
          <w:left w:val="nil"/>
          <w:right w:val="nil"/>
          <w:top w:val="nil"/>
          <w:bottom w:val="nil"/>
          <w:between w:val="nil"/>
        </w:pBdr>
        <w:rPr>
          <w:color w:val="000000"/>
          <w:sz w:val="24"/>
          <w:szCs w:val="24"/>
        </w:rPr>
      </w:pPr>
      <w:r>
        <w:rPr>
          <w:color w:val="000000"/>
        </w:rPr>
        <w:t>Штрафная область справа от грина лунки 16 простирается вправо до бесконечности. Мяч считается находящимся в штрафной области даже если он остановился за забором, ограничивающим гольф-поле.</w:t>
      </w:r>
    </w:p>
    <w:p w14:paraId="5AB4E1B4">
      <w:pPr>
        <w:pStyle w:val="style0"/>
        <w:pBdr>
          <w:left w:val="nil"/>
          <w:right w:val="nil"/>
          <w:top w:val="nil"/>
          <w:bottom w:val="nil"/>
          <w:between w:val="nil"/>
        </w:pBdr>
        <w:spacing w:before="28"/>
        <w:jc w:val="both"/>
        <w:rPr>
          <w:color w:val="000000"/>
        </w:rPr>
      </w:pPr>
      <w:r>
        <w:rPr>
          <w:b/>
          <w:i/>
          <w:color w:val="000000"/>
        </w:rPr>
        <w:t>Зоны вбрасывания</w:t>
      </w:r>
    </w:p>
    <w:p w14:paraId="6843988B">
      <w:pPr>
        <w:pStyle w:val="style0"/>
        <w:pBdr>
          <w:left w:val="nil"/>
          <w:right w:val="nil"/>
          <w:top w:val="nil"/>
          <w:bottom w:val="nil"/>
          <w:between w:val="nil"/>
        </w:pBdr>
        <w:spacing w:before="28"/>
        <w:jc w:val="both"/>
        <w:rPr>
          <w:color w:val="000000"/>
        </w:rPr>
      </w:pPr>
      <w:r>
        <w:rPr>
          <w:b/>
          <w:color w:val="000000"/>
          <w:u w:val="single"/>
        </w:rPr>
        <w:t>На лунках 4, 8, 16</w:t>
      </w:r>
      <w:r>
        <w:rPr>
          <w:b/>
          <w:color w:val="000000"/>
        </w:rPr>
        <w:t xml:space="preserve"> </w:t>
      </w:r>
      <w:r>
        <w:rPr>
          <w:color w:val="000000"/>
        </w:rPr>
        <w:t>если мяч остановился в штрафной области, то игрок может, с одним ударом штрафа в дополнение к обычным действиям по Правилу 17.1сыграть мяч из зоны вбрасывания, обозначенной белой линией и табличкой "DZ".</w:t>
      </w:r>
    </w:p>
    <w:p w14:paraId="04400AC1">
      <w:pPr>
        <w:pStyle w:val="style0"/>
        <w:pBdr>
          <w:left w:val="nil"/>
          <w:right w:val="nil"/>
          <w:top w:val="nil"/>
          <w:bottom w:val="nil"/>
          <w:between w:val="nil"/>
        </w:pBdr>
        <w:spacing w:before="28"/>
        <w:jc w:val="both"/>
        <w:rPr>
          <w:color w:val="000000"/>
        </w:rPr>
      </w:pPr>
      <w:r>
        <w:rPr>
          <w:b/>
          <w:color w:val="000000"/>
          <w:u w:val="single"/>
        </w:rPr>
        <w:t xml:space="preserve">На лунке 5 </w:t>
      </w:r>
      <w:r>
        <w:rPr>
          <w:color w:val="000000"/>
        </w:rPr>
        <w:t>если мяч остановился в штрафной области между вторым и третьим мостом игрок может, с одним ударом штрафа в дополнение к обычным действиям по Правилу 17.1 сыграть мяч из зоны вбрасывания, расположенной на левом берегу штрафной области, обозначенной белой линией и табличкой "DZ".</w:t>
      </w:r>
    </w:p>
    <w:p w14:paraId="27E94410">
      <w:pPr>
        <w:pStyle w:val="style0"/>
        <w:pBdr>
          <w:left w:val="nil"/>
          <w:right w:val="nil"/>
          <w:top w:val="nil"/>
          <w:bottom w:val="nil"/>
          <w:between w:val="nil"/>
        </w:pBdr>
        <w:spacing w:before="28"/>
        <w:rPr>
          <w:color w:val="000000"/>
        </w:rPr>
      </w:pPr>
    </w:p>
    <w:p w14:paraId="3AE4EB43">
      <w:pPr>
        <w:pStyle w:val="style0"/>
        <w:pBdr>
          <w:left w:val="nil"/>
          <w:right w:val="nil"/>
          <w:top w:val="nil"/>
          <w:bottom w:val="nil"/>
          <w:between w:val="nil"/>
        </w:pBdr>
        <w:spacing w:after="40"/>
        <w:rPr>
          <w:color w:val="000000"/>
          <w:u w:val="single"/>
        </w:rPr>
      </w:pPr>
      <w:r>
        <w:rPr>
          <w:b/>
          <w:color w:val="000000"/>
          <w:u w:val="single"/>
        </w:rPr>
        <w:t>5.  Зоны запрещенные для игры (Правило 2.4)</w:t>
      </w:r>
    </w:p>
    <w:p w14:paraId="7B222DD2">
      <w:pPr>
        <w:pStyle w:val="style0"/>
        <w:pBdr>
          <w:left w:val="nil"/>
          <w:right w:val="nil"/>
          <w:top w:val="nil"/>
          <w:bottom w:val="nil"/>
          <w:between w:val="nil"/>
        </w:pBdr>
        <w:rPr>
          <w:color w:val="000000"/>
        </w:rPr>
      </w:pPr>
      <w:r>
        <w:rPr>
          <w:color w:val="000000"/>
        </w:rPr>
        <w:t xml:space="preserve">Молодые посадки деревьев, обозначенные колышками с растяжками или иным явным образом, являются зоной, запрещенной для игры. Если мяч лежит на таком дереве, касается такого дерева или такое дерево вмешивается в стойку игрока или область планируемого свинга, игрок обязан использовать </w:t>
      </w:r>
      <w:r>
        <w:rPr>
          <w:color w:val="000000"/>
        </w:rPr>
        <w:t>релиф</w:t>
      </w:r>
      <w:r>
        <w:rPr>
          <w:color w:val="000000"/>
        </w:rPr>
        <w:t xml:space="preserve"> по Правилу 16.1f. </w:t>
      </w:r>
    </w:p>
    <w:p w14:paraId="6944D23D">
      <w:pPr>
        <w:pStyle w:val="style0"/>
        <w:pBdr>
          <w:left w:val="nil"/>
          <w:right w:val="nil"/>
          <w:top w:val="nil"/>
          <w:bottom w:val="nil"/>
          <w:between w:val="nil"/>
        </w:pBdr>
        <w:rPr>
          <w:color w:val="000000"/>
          <w:u w:val="single"/>
        </w:rPr>
      </w:pPr>
    </w:p>
    <w:p w14:paraId="10425F3B">
      <w:pPr>
        <w:pStyle w:val="style0"/>
        <w:pBdr>
          <w:left w:val="nil"/>
          <w:right w:val="nil"/>
          <w:top w:val="nil"/>
          <w:bottom w:val="nil"/>
          <w:between w:val="nil"/>
        </w:pBdr>
        <w:jc w:val="both"/>
        <w:rPr>
          <w:color w:val="000000"/>
          <w:u w:val="single"/>
          <w:lang w:val="ru-RU"/>
        </w:rPr>
      </w:pPr>
      <w:r>
        <w:rPr>
          <w:b/>
          <w:color w:val="000000"/>
          <w:u w:val="single"/>
        </w:rPr>
        <w:t>6</w:t>
      </w:r>
      <w:r>
        <w:rPr>
          <w:b/>
          <w:color w:val="000000"/>
          <w:u w:val="single"/>
        </w:rPr>
        <w:t xml:space="preserve">. </w:t>
      </w:r>
      <w:r>
        <w:rPr>
          <w:b/>
          <w:color w:val="000000"/>
          <w:u w:val="single"/>
          <w:lang w:val="ru-RU"/>
        </w:rPr>
        <w:t xml:space="preserve"> С</w:t>
      </w:r>
      <w:r>
        <w:rPr>
          <w:b/>
          <w:color w:val="000000"/>
          <w:u w:val="single"/>
        </w:rPr>
        <w:t>четн</w:t>
      </w:r>
      <w:r>
        <w:rPr>
          <w:b/>
          <w:color w:val="000000"/>
          <w:u w:val="single"/>
          <w:lang w:val="ru-RU"/>
        </w:rPr>
        <w:t>ые</w:t>
      </w:r>
      <w:r>
        <w:rPr>
          <w:b/>
          <w:color w:val="000000"/>
          <w:u w:val="single"/>
          <w:lang w:val="ru-RU"/>
        </w:rPr>
        <w:t xml:space="preserve"> </w:t>
      </w:r>
      <w:r>
        <w:rPr>
          <w:b/>
          <w:color w:val="000000"/>
          <w:u w:val="single"/>
        </w:rPr>
        <w:t>карточ</w:t>
      </w:r>
      <w:r>
        <w:rPr>
          <w:b/>
          <w:color w:val="000000"/>
          <w:u w:val="single"/>
          <w:lang w:val="ru-RU"/>
        </w:rPr>
        <w:t>ки</w:t>
      </w:r>
    </w:p>
    <w:p w14:paraId="5D4C1194">
      <w:pPr>
        <w:pStyle w:val="style0"/>
        <w:pBdr>
          <w:left w:val="nil"/>
          <w:right w:val="nil"/>
          <w:top w:val="nil"/>
          <w:bottom w:val="nil"/>
          <w:between w:val="nil"/>
        </w:pBdr>
        <w:jc w:val="both"/>
        <w:rPr>
          <w:color w:val="000000"/>
          <w:lang w:val="ru-RU"/>
        </w:rPr>
      </w:pPr>
      <w:r>
        <w:rPr>
          <w:color w:val="000000"/>
          <w:lang w:val="ru-RU"/>
        </w:rPr>
        <w:t xml:space="preserve">Основными счетными карточками являются Электронные счетные карточки. </w:t>
      </w:r>
      <w:r>
        <w:rPr>
          <w:color w:val="000000"/>
        </w:rPr>
        <w:t xml:space="preserve">Счетные карточки должны </w:t>
      </w:r>
      <w:r>
        <w:rPr>
          <w:color w:val="000000"/>
          <w:lang w:val="ru-RU"/>
        </w:rPr>
        <w:t>вестись электронным образом своевременно. Сданной счетная карточка считается, когда после раунда карточка подписана электронным образом за счет игрока и за свой счет.</w:t>
      </w:r>
      <w:r>
        <w:rPr>
          <w:color w:val="000000"/>
          <w:lang w:val="ru-RU"/>
        </w:rPr>
        <w:t xml:space="preserve"> Какие-либо исправления в электронных картах после их сдачи возможны только в течении первых 15-ти минут с согласования с судейским Комитетом.</w:t>
      </w:r>
    </w:p>
    <w:p w14:paraId="4A4B4EFB">
      <w:pPr>
        <w:pStyle w:val="style0"/>
        <w:pBdr>
          <w:left w:val="nil"/>
          <w:right w:val="nil"/>
          <w:top w:val="nil"/>
          <w:bottom w:val="nil"/>
          <w:between w:val="nil"/>
        </w:pBdr>
        <w:jc w:val="both"/>
        <w:rPr>
          <w:color w:val="000000"/>
          <w:lang w:val="ru-RU"/>
        </w:rPr>
      </w:pPr>
    </w:p>
    <w:p w14:paraId="4621C275">
      <w:pPr>
        <w:pStyle w:val="style0"/>
        <w:pBdr>
          <w:left w:val="nil"/>
          <w:right w:val="nil"/>
          <w:top w:val="nil"/>
          <w:bottom w:val="nil"/>
          <w:between w:val="nil"/>
        </w:pBdr>
        <w:jc w:val="both"/>
        <w:rPr>
          <w:color w:val="000000"/>
          <w:u w:val="single"/>
          <w:lang w:val="ru-RU"/>
        </w:rPr>
      </w:pPr>
      <w:r>
        <w:rPr>
          <w:b/>
          <w:color w:val="000000"/>
          <w:u w:val="single"/>
        </w:rPr>
        <w:t xml:space="preserve">7. </w:t>
      </w:r>
      <w:r>
        <w:rPr>
          <w:b/>
          <w:color w:val="000000"/>
          <w:u w:val="single"/>
          <w:lang w:val="ru-RU"/>
        </w:rPr>
        <w:t xml:space="preserve"> Моторизованные транспортные средства.</w:t>
      </w:r>
    </w:p>
    <w:p w14:paraId="182DE317">
      <w:pPr>
        <w:pStyle w:val="style0"/>
        <w:pBdr>
          <w:left w:val="nil"/>
          <w:right w:val="nil"/>
          <w:top w:val="nil"/>
          <w:bottom w:val="nil"/>
          <w:between w:val="nil"/>
        </w:pBdr>
        <w:jc w:val="both"/>
        <w:rPr>
          <w:color w:val="000000"/>
          <w:lang w:val="ru-RU"/>
        </w:rPr>
      </w:pPr>
      <w:r>
        <w:rPr>
          <w:color w:val="000000"/>
          <w:shd w:val="clear" w:color="auto" w:fill="ffffff"/>
        </w:rPr>
        <w:t>Во время раунда игроку и его кедди не разрешается перемещаться на моторизованных транспортных средствах любого вида, за исключением случаев, когда получено разрешение судейской коллегии до или после того, как это произошло. Штраф за нарушение этого требования: игрок получает два удара штрафа на каждой лунке, во время которой имело место нарушение этого требования</w:t>
      </w:r>
      <w:r>
        <w:rPr>
          <w:color w:val="000000"/>
          <w:shd w:val="clear" w:color="auto" w:fill="ffffff"/>
          <w:lang w:val="ru-RU"/>
        </w:rPr>
        <w:t>.</w:t>
      </w:r>
    </w:p>
    <w:p w14:paraId="336DA201">
      <w:pPr>
        <w:pStyle w:val="style0"/>
        <w:pBdr>
          <w:left w:val="nil"/>
          <w:right w:val="nil"/>
          <w:top w:val="nil"/>
          <w:bottom w:val="nil"/>
          <w:between w:val="nil"/>
        </w:pBdr>
        <w:jc w:val="both"/>
        <w:rPr>
          <w:b/>
          <w:color w:val="000000"/>
        </w:rPr>
      </w:pPr>
    </w:p>
    <w:p w14:paraId="0FECC021">
      <w:pPr>
        <w:pStyle w:val="style0"/>
        <w:pBdr>
          <w:left w:val="nil"/>
          <w:right w:val="nil"/>
          <w:top w:val="nil"/>
          <w:bottom w:val="nil"/>
          <w:between w:val="nil"/>
        </w:pBdr>
        <w:jc w:val="both"/>
        <w:rPr>
          <w:b/>
          <w:color w:val="000000"/>
        </w:rPr>
      </w:pPr>
      <w:r>
        <w:rPr>
          <w:b/>
          <w:color w:val="000000"/>
        </w:rPr>
        <w:t>Все расстояния на поле указаны в метрах до середины грина.</w:t>
      </w:r>
    </w:p>
    <w:p w14:paraId="08937B92">
      <w:pPr>
        <w:pStyle w:val="style0"/>
        <w:pBdr>
          <w:left w:val="nil"/>
          <w:right w:val="nil"/>
          <w:top w:val="nil"/>
          <w:bottom w:val="nil"/>
          <w:between w:val="nil"/>
        </w:pBdr>
        <w:jc w:val="both"/>
        <w:rPr>
          <w:b/>
          <w:color w:val="000000"/>
        </w:rPr>
      </w:pPr>
    </w:p>
    <w:p w14:paraId="1CF851C1">
      <w:pPr>
        <w:pStyle w:val="style0"/>
        <w:pBdr>
          <w:left w:val="nil"/>
          <w:right w:val="nil"/>
          <w:top w:val="nil"/>
          <w:bottom w:val="nil"/>
          <w:between w:val="nil"/>
        </w:pBdr>
        <w:jc w:val="both"/>
        <w:rPr>
          <w:b/>
          <w:color w:val="000000"/>
          <w:lang w:val="ru-RU"/>
        </w:rPr>
      </w:pPr>
      <w:r>
        <w:rPr>
          <w:b/>
          <w:color w:val="000000"/>
          <w:lang w:val="ru-RU"/>
        </w:rPr>
        <w:t>Кедди на турнире разрешены.</w:t>
      </w:r>
    </w:p>
    <w:p w14:paraId="7D65180D">
      <w:pPr>
        <w:pStyle w:val="style0"/>
        <w:pBdr>
          <w:left w:val="nil"/>
          <w:right w:val="nil"/>
          <w:top w:val="nil"/>
          <w:bottom w:val="nil"/>
          <w:between w:val="nil"/>
        </w:pBdr>
        <w:jc w:val="both"/>
        <w:rPr>
          <w:color w:val="000000"/>
        </w:rPr>
      </w:pPr>
    </w:p>
    <w:p w14:paraId="2A589ABE">
      <w:pPr>
        <w:pStyle w:val="style0"/>
        <w:pBdr>
          <w:left w:val="nil"/>
          <w:right w:val="nil"/>
          <w:top w:val="nil"/>
          <w:bottom w:val="nil"/>
          <w:between w:val="nil"/>
        </w:pBdr>
        <w:spacing w:before="28"/>
        <w:rPr>
          <w:color w:val="000000"/>
        </w:rPr>
      </w:pPr>
    </w:p>
    <w:p w14:paraId="243533C8">
      <w:pPr>
        <w:pStyle w:val="style0"/>
        <w:pBdr>
          <w:left w:val="nil"/>
          <w:right w:val="nil"/>
          <w:top w:val="nil"/>
          <w:bottom w:val="nil"/>
          <w:between w:val="nil"/>
        </w:pBdr>
        <w:spacing w:after="40"/>
        <w:rPr>
          <w:color w:val="000000"/>
          <w:sz w:val="18"/>
          <w:szCs w:val="18"/>
        </w:rPr>
      </w:pPr>
      <w:r>
        <w:rPr>
          <w:b/>
          <w:color w:val="000000"/>
          <w:sz w:val="18"/>
          <w:szCs w:val="18"/>
        </w:rPr>
        <w:t xml:space="preserve">Телефон для связи с </w:t>
      </w:r>
      <w:r>
        <w:rPr>
          <w:b/>
          <w:color w:val="000000"/>
          <w:sz w:val="18"/>
          <w:szCs w:val="18"/>
          <w:lang w:val="ru-RU"/>
        </w:rPr>
        <w:t>судьями</w:t>
      </w:r>
      <w:r>
        <w:rPr>
          <w:b/>
          <w:color w:val="000000"/>
          <w:sz w:val="18"/>
          <w:szCs w:val="18"/>
        </w:rPr>
        <w:t xml:space="preserve">:  </w:t>
      </w:r>
    </w:p>
    <w:p w14:paraId="28104172">
      <w:pPr>
        <w:pStyle w:val="style0"/>
        <w:pBdr>
          <w:left w:val="nil"/>
          <w:right w:val="nil"/>
          <w:top w:val="nil"/>
          <w:bottom w:val="nil"/>
          <w:between w:val="nil"/>
        </w:pBdr>
        <w:spacing w:after="40"/>
        <w:rPr>
          <w:b/>
          <w:color w:val="000000"/>
          <w:sz w:val="24"/>
          <w:szCs w:val="24"/>
          <w:lang w:val="ru-RU"/>
        </w:rPr>
      </w:pPr>
      <w:r>
        <w:rPr>
          <w:b/>
          <w:color w:val="000000"/>
          <w:sz w:val="18"/>
          <w:szCs w:val="18"/>
          <w:lang w:val="ru-RU"/>
        </w:rPr>
        <w:t>Екатерина Берендеева</w:t>
      </w:r>
      <w:r>
        <w:rPr>
          <w:b/>
          <w:color w:val="000000"/>
          <w:sz w:val="18"/>
          <w:szCs w:val="18"/>
        </w:rPr>
        <w:t xml:space="preserve"> </w:t>
      </w:r>
      <w:r>
        <w:rPr>
          <w:b/>
          <w:color w:val="000000"/>
          <w:sz w:val="24"/>
          <w:szCs w:val="24"/>
        </w:rPr>
        <w:t xml:space="preserve">8 (916) </w:t>
      </w:r>
      <w:r>
        <w:rPr>
          <w:b/>
          <w:color w:val="000000"/>
          <w:sz w:val="24"/>
          <w:szCs w:val="24"/>
          <w:lang w:val="ru-RU"/>
        </w:rPr>
        <w:t>672-41-89</w:t>
      </w:r>
    </w:p>
    <w:p w14:paraId="12AB7853">
      <w:pPr>
        <w:pStyle w:val="style0"/>
        <w:pBdr>
          <w:left w:val="nil"/>
          <w:right w:val="nil"/>
          <w:top w:val="nil"/>
          <w:bottom w:val="nil"/>
          <w:between w:val="nil"/>
        </w:pBdr>
        <w:spacing w:after="40"/>
        <w:rPr>
          <w:b/>
          <w:color w:val="000000"/>
          <w:sz w:val="24"/>
          <w:szCs w:val="24"/>
        </w:rPr>
      </w:pPr>
      <w:r>
        <w:rPr>
          <w:b/>
          <w:color w:val="000000"/>
          <w:sz w:val="18"/>
          <w:szCs w:val="18"/>
          <w:lang w:val="ru-RU"/>
        </w:rPr>
        <w:t>Варвара Рыбакова</w:t>
      </w:r>
      <w:r>
        <w:rPr>
          <w:b/>
          <w:color w:val="000000"/>
          <w:sz w:val="18"/>
          <w:szCs w:val="18"/>
        </w:rPr>
        <w:t xml:space="preserve"> </w:t>
      </w:r>
      <w:r>
        <w:rPr>
          <w:b/>
          <w:color w:val="000000"/>
          <w:sz w:val="24"/>
          <w:szCs w:val="24"/>
        </w:rPr>
        <w:t>8 (919</w:t>
      </w:r>
      <w:r>
        <w:rPr>
          <w:b/>
          <w:color w:val="000000"/>
          <w:sz w:val="24"/>
          <w:szCs w:val="24"/>
        </w:rPr>
        <w:t xml:space="preserve">) </w:t>
      </w:r>
      <w:r>
        <w:rPr>
          <w:b/>
          <w:color w:val="000000"/>
          <w:sz w:val="24"/>
          <w:szCs w:val="24"/>
          <w:lang w:val="ru-RU"/>
        </w:rPr>
        <w:t>77</w:t>
      </w:r>
      <w:r>
        <w:rPr>
          <w:b/>
          <w:color w:val="000000"/>
          <w:sz w:val="24"/>
          <w:szCs w:val="24"/>
        </w:rPr>
        <w:t>3-</w:t>
      </w:r>
      <w:r>
        <w:rPr>
          <w:b/>
          <w:color w:val="000000"/>
          <w:sz w:val="24"/>
          <w:szCs w:val="24"/>
          <w:lang w:val="ru-RU"/>
        </w:rPr>
        <w:t>86-11</w:t>
      </w:r>
      <w:r>
        <w:rPr>
          <w:b/>
          <w:color w:val="000000"/>
          <w:sz w:val="24"/>
          <w:szCs w:val="24"/>
        </w:rPr>
        <w:t xml:space="preserve"> </w:t>
      </w:r>
    </w:p>
    <w:p w14:paraId="5733CDAF">
      <w:pPr>
        <w:pStyle w:val="style0"/>
        <w:pBdr>
          <w:left w:val="nil"/>
          <w:right w:val="nil"/>
          <w:top w:val="nil"/>
          <w:bottom w:val="nil"/>
          <w:between w:val="nil"/>
        </w:pBdr>
        <w:spacing w:after="40"/>
        <w:rPr>
          <w:color w:val="000000"/>
          <w:sz w:val="18"/>
          <w:szCs w:val="18"/>
          <w:lang w:val="ru-RU"/>
        </w:rPr>
        <w:sectPr>
          <w:type w:val="continuous"/>
          <w:pgSz w:w="11906" w:h="16838" w:orient="portrait"/>
          <w:pgMar w:top="426" w:right="567" w:bottom="567" w:left="567" w:header="720" w:footer="720" w:gutter="0"/>
          <w:cols w:equalWidth="0" w:space="720" w:num="2">
            <w:col w:w="5101" w:space="568"/>
            <w:col w:w="5101"/>
          </w:cols>
        </w:sectPr>
      </w:pPr>
      <w:r>
        <w:rPr>
          <w:b/>
          <w:bCs/>
          <w:sz w:val="18"/>
          <w:szCs w:val="18"/>
          <w:lang w:val="ru-RU"/>
        </w:rPr>
        <w:t>Александр Мильков</w:t>
      </w:r>
      <w:r>
        <w:rPr>
          <w:b/>
          <w:bCs/>
          <w:sz w:val="18"/>
          <w:szCs w:val="18"/>
        </w:rPr>
        <w:t xml:space="preserve"> </w:t>
      </w:r>
      <w:r>
        <w:rPr>
          <w:b/>
          <w:bCs/>
          <w:sz w:val="24"/>
          <w:szCs w:val="24"/>
        </w:rPr>
        <w:t>8(9</w:t>
      </w:r>
      <w:r>
        <w:rPr>
          <w:b/>
          <w:bCs/>
          <w:sz w:val="24"/>
          <w:szCs w:val="24"/>
          <w:lang w:val="ru-RU"/>
        </w:rPr>
        <w:t>16</w:t>
      </w:r>
      <w:r>
        <w:rPr>
          <w:b/>
          <w:bCs/>
          <w:sz w:val="24"/>
          <w:szCs w:val="24"/>
        </w:rPr>
        <w:t>) 670</w:t>
      </w:r>
      <w:r>
        <w:rPr>
          <w:b/>
          <w:bCs/>
          <w:sz w:val="24"/>
          <w:szCs w:val="24"/>
        </w:rPr>
        <w:t>-</w:t>
      </w:r>
      <w:r>
        <w:rPr>
          <w:b/>
          <w:bCs/>
          <w:sz w:val="24"/>
          <w:szCs w:val="24"/>
          <w:lang w:val="ru-RU"/>
        </w:rPr>
        <w:t>97</w:t>
      </w:r>
      <w:r>
        <w:rPr>
          <w:b/>
          <w:bCs/>
          <w:sz w:val="24"/>
          <w:szCs w:val="24"/>
        </w:rPr>
        <w:t>-</w:t>
      </w:r>
      <w:r>
        <w:rPr>
          <w:b/>
          <w:bCs/>
          <w:sz w:val="24"/>
          <w:szCs w:val="24"/>
          <w:lang w:val="ru-RU"/>
        </w:rPr>
        <w:t>67</w:t>
      </w:r>
    </w:p>
    <w:p w14:paraId="7966A1FD">
      <w:pPr>
        <w:pStyle w:val="style0"/>
        <w:pBdr>
          <w:left w:val="nil"/>
          <w:right w:val="nil"/>
          <w:top w:val="nil"/>
          <w:bottom w:val="nil"/>
          <w:between w:val="nil"/>
        </w:pBdr>
        <w:rPr>
          <w:color w:val="000000"/>
          <w:sz w:val="24"/>
          <w:szCs w:val="24"/>
        </w:rPr>
      </w:pPr>
    </w:p>
    <w:sectPr>
      <w:type w:val="continuous"/>
      <w:pgSz w:w="11906" w:h="16838" w:orient="portrait"/>
      <w:pgMar w:top="426" w:right="567" w:bottom="567" w:left="567" w:header="720" w:footer="720" w:gutter="0"/>
      <w:cols w:equalWidth="0" w:space="720" w:num="2">
        <w:col w:w="5101" w:space="568"/>
        <w:col w:w="5101"/>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Arial">
    <w:altName w:val="Arial"/>
    <w:panose1 w:val="020b0604020002020204"/>
    <w:charset w:val="cc"/>
    <w:family w:val="swiss"/>
    <w:pitch w:val="variable"/>
    <w:sig w:usb0="E0002EFF" w:usb1="C000785B" w:usb2="00000009" w:usb3="00000000" w:csb0="000001FF" w:csb1="00000000"/>
  </w:font>
  <w:font w:name="Calibri">
    <w:altName w:val="Calibri"/>
    <w:panose1 w:val="020f0502020002030204"/>
    <w:charset w:val="cc"/>
    <w:family w:val="swiss"/>
    <w:pitch w:val="variable"/>
    <w:sig w:usb0="E4002EFF" w:usb1="C200247B" w:usb2="00000009" w:usb3="00000000" w:csb0="000001FF" w:csb1="00000000"/>
  </w:font>
  <w:font w:name="Cambria">
    <w:altName w:val="Cambria"/>
    <w:panose1 w:val="02040503050004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lang w:bidi="ar-SA" w:eastAsia="ru-RU"/>
      </w:rPr>
    </w:rPrDefault>
    <w:pPrDefault>
      <w:pPr/>
    </w:pPrDefault>
  </w:docDefaults>
  <w:style w:type="paragraph" w:default="1" w:styleId="style0">
    <w:name w:val="Normal"/>
    <w:next w:val="style0"/>
    <w:pPr/>
  </w:style>
  <w:style w:type="paragraph" w:styleId="style1">
    <w:name w:val="heading 1"/>
    <w:basedOn w:val="style0"/>
    <w:next w:val="style0"/>
    <w:pPr>
      <w:keepNext/>
      <w:keepLines/>
      <w:spacing w:before="480" w:after="120"/>
      <w:outlineLvl w:val="0"/>
    </w:pPr>
    <w:rPr>
      <w:b/>
      <w:sz w:val="48"/>
      <w:szCs w:val="48"/>
    </w:rPr>
  </w:style>
  <w:style w:type="paragraph" w:styleId="style2">
    <w:name w:val="heading 2"/>
    <w:basedOn w:val="style0"/>
    <w:next w:val="style0"/>
    <w:pPr>
      <w:keepNext/>
      <w:keepLines/>
      <w:spacing w:before="360" w:after="80"/>
      <w:outlineLvl w:val="1"/>
    </w:pPr>
    <w:rPr>
      <w:b/>
      <w:sz w:val="36"/>
      <w:szCs w:val="36"/>
    </w:rPr>
  </w:style>
  <w:style w:type="paragraph" w:styleId="style3">
    <w:name w:val="heading 3"/>
    <w:basedOn w:val="style0"/>
    <w:next w:val="style0"/>
    <w:pPr>
      <w:keepNext/>
      <w:keepLines/>
      <w:spacing w:before="280" w:after="80"/>
      <w:outlineLvl w:val="2"/>
    </w:pPr>
    <w:rPr>
      <w:b/>
      <w:sz w:val="28"/>
      <w:szCs w:val="28"/>
    </w:rPr>
  </w:style>
  <w:style w:type="paragraph" w:styleId="style4">
    <w:name w:val="heading 4"/>
    <w:basedOn w:val="style0"/>
    <w:next w:val="style0"/>
    <w:pPr>
      <w:keepNext/>
      <w:keepLines/>
      <w:spacing w:before="240" w:after="40"/>
      <w:outlineLvl w:val="3"/>
    </w:pPr>
    <w:rPr>
      <w:b/>
      <w:sz w:val="24"/>
      <w:szCs w:val="24"/>
    </w:rPr>
  </w:style>
  <w:style w:type="paragraph" w:styleId="style5">
    <w:name w:val="heading 5"/>
    <w:basedOn w:val="style0"/>
    <w:next w:val="style0"/>
    <w:pPr>
      <w:keepNext/>
      <w:keepLines/>
      <w:spacing w:before="220" w:after="40"/>
      <w:outlineLvl w:val="4"/>
    </w:pPr>
    <w:rPr>
      <w:b/>
      <w:sz w:val="22"/>
      <w:szCs w:val="22"/>
    </w:rPr>
  </w:style>
  <w:style w:type="paragraph" w:styleId="style6">
    <w:name w:val="heading 6"/>
    <w:basedOn w:val="style0"/>
    <w:next w:val="style0"/>
    <w:pPr>
      <w:keepNext/>
      <w:keepLines/>
      <w:spacing w:before="200" w:after="40"/>
      <w:outlineLvl w:val="5"/>
    </w:pPr>
    <w:rPr>
      <w:b/>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customStyle="1" w:styleId="style4097">
    <w:name w:val="TableNormal"/>
    <w:next w:val="style4097"/>
    <w:pPr/>
    <w:rPr/>
    <w:tblPr>
      <w:tblCellMar>
        <w:top w:w="0" w:type="dxa"/>
        <w:left w:w="0" w:type="dxa"/>
        <w:bottom w:w="0" w:type="dxa"/>
        <w:right w:w="0" w:type="dxa"/>
      </w:tblCellMar>
    </w:tblPr>
    <w:tcPr>
      <w:tcBorders/>
    </w:tcPr>
  </w:style>
  <w:style w:type="paragraph" w:styleId="style62">
    <w:name w:val="Title"/>
    <w:basedOn w:val="style0"/>
    <w:next w:val="style0"/>
    <w:pPr>
      <w:keepNext/>
      <w:keepLines/>
      <w:spacing w:before="480" w:after="120"/>
    </w:pPr>
    <w:rPr>
      <w:b/>
      <w:sz w:val="72"/>
      <w:szCs w:val="72"/>
    </w:rPr>
  </w:style>
  <w:style w:type="paragraph" w:styleId="style74">
    <w:name w:val="Subtitle"/>
    <w:basedOn w:val="style0"/>
    <w:next w:val="style0"/>
    <w:pPr>
      <w:keepNext/>
      <w:keepLines/>
      <w:spacing w:before="360" w:after="80"/>
    </w:pPr>
    <w:rPr>
      <w:rFonts w:ascii="Georgia" w:cs="Georgia" w:eastAsia="Georgia" w:hAnsi="Georgia"/>
      <w:i/>
      <w:color w:val="666666"/>
      <w:sz w:val="48"/>
      <w:szCs w:val="48"/>
    </w:rPr>
  </w:style>
  <w:style w:type="table" w:customStyle="1" w:styleId="style4098">
    <w:basedOn w:val="style4097"/>
    <w:next w:val="style4098"/>
    <w:pPr/>
    <w:rPr/>
    <w:tblPr>
      <w:tblStyleRowBandSize w:val="1"/>
      <w:tblStyleColBandSize w:val="1"/>
      <w:tblCellMar>
        <w:left w:w="108" w:type="dxa"/>
        <w:right w:w="108" w:type="dxa"/>
      </w:tblCellMar>
    </w:tblPr>
    <w:tcPr>
      <w:tcBorders/>
    </w:tcPr>
  </w:style>
  <w:style w:type="paragraph" w:styleId="style179">
    <w:name w:val="List Paragraph"/>
    <w:basedOn w:val="style0"/>
    <w:next w:val="style179"/>
    <w:qFormat/>
    <w:uiPriority w:val="34"/>
    <w:pPr>
      <w:ind w:left="720"/>
      <w:contextualSpacing/>
    </w:pPr>
    <w:rPr/>
  </w:style>
  <w:style w:type="character" w:styleId="style87">
    <w:name w:val="Strong"/>
    <w:basedOn w:val="style65"/>
    <w:next w:val="style87"/>
    <w:qFormat/>
    <w:uiPriority w:val="22"/>
    <w:rPr>
      <w:b/>
      <w:bC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Words>523</Words>
  <Pages>1</Pages>
  <Characters>3123</Characters>
  <Application>WPS Office</Application>
  <DocSecurity>0</DocSecurity>
  <Paragraphs>42</Paragraphs>
  <ScaleCrop>false</ScaleCrop>
  <LinksUpToDate>false</LinksUpToDate>
  <CharactersWithSpaces>3668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2026-09-12T11:29:00Z</dcterms:created>
  <dc:creator>User</dc:creator>
  <lastModifiedBy>NTN-LX1</lastModifiedBy>
  <dcterms:modified xsi:type="dcterms:W3CDTF">2026-09-13T03:10:17Z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afddc03ec9a34d2caa381c4fc4e98441_23</vt:lpwstr>
  </property>
</Properties>
</file>